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6B95" w:rsidRDefault="00776F5A" w:rsidP="000250DD">
      <w:pPr>
        <w:shd w:val="clear" w:color="auto" w:fill="FFFFFF"/>
        <w:spacing w:after="180" w:line="288" w:lineRule="atLeast"/>
        <w:jc w:val="center"/>
        <w:textAlignment w:val="baseline"/>
        <w:rPr>
          <w:rFonts w:ascii="Tahoma" w:eastAsia="Times New Roman" w:hAnsi="Tahoma" w:cs="Tahoma"/>
          <w:b/>
          <w:bCs/>
          <w:color w:val="538135" w:themeColor="accent6" w:themeShade="BF"/>
          <w:sz w:val="20"/>
          <w:szCs w:val="20"/>
          <w:u w:val="single"/>
          <w:bdr w:val="none" w:sz="0" w:space="0" w:color="auto" w:frame="1"/>
          <w:lang w:eastAsia="en-GB"/>
        </w:rPr>
      </w:pPr>
      <w:r>
        <w:rPr>
          <w:rFonts w:ascii="Tahoma" w:hAnsi="Tahoma" w:cs="Tahoma"/>
          <w:noProof/>
          <w:sz w:val="20"/>
          <w:szCs w:val="20"/>
        </w:rPr>
        <w:object w:dxaOrig="1440" w:dyaOrig="1440" w14:anchorId="2BD88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0.75pt;margin-top:-43.95pt;width:56.35pt;height:56.85pt;z-index:251659264" wrapcoords="-196 0 -196 21405 21600 21405 21600 0 -196 0" fillcolor="window">
            <v:imagedata r:id="rId7" o:title=""/>
          </v:shape>
          <o:OLEObject Type="Embed" ProgID="PBrush" ShapeID="_x0000_s1026" DrawAspect="Content" ObjectID="_1714224593" r:id="rId8"/>
        </w:object>
      </w:r>
    </w:p>
    <w:p w14:paraId="11934845" w14:textId="77777777" w:rsidR="00126B41" w:rsidRDefault="00B400F7" w:rsidP="000250DD">
      <w:pPr>
        <w:shd w:val="clear" w:color="auto" w:fill="FFFFFF"/>
        <w:spacing w:after="180" w:line="288" w:lineRule="atLeast"/>
        <w:jc w:val="center"/>
        <w:textAlignment w:val="baseline"/>
        <w:rPr>
          <w:rFonts w:ascii="Tahoma" w:eastAsia="Times New Roman" w:hAnsi="Tahoma" w:cs="Tahoma"/>
          <w:b/>
          <w:bCs/>
          <w:color w:val="538135" w:themeColor="accent6" w:themeShade="BF"/>
          <w:sz w:val="20"/>
          <w:szCs w:val="20"/>
          <w:u w:val="single"/>
          <w:bdr w:val="none" w:sz="0" w:space="0" w:color="auto" w:frame="1"/>
          <w:lang w:eastAsia="en-GB"/>
        </w:rPr>
      </w:pPr>
      <w:r>
        <w:rPr>
          <w:rFonts w:ascii="Tahoma" w:eastAsia="Times New Roman" w:hAnsi="Tahoma" w:cs="Tahoma"/>
          <w:b/>
          <w:bCs/>
          <w:color w:val="538135" w:themeColor="accent6" w:themeShade="BF"/>
          <w:sz w:val="20"/>
          <w:szCs w:val="20"/>
          <w:u w:val="single"/>
          <w:bdr w:val="none" w:sz="0" w:space="0" w:color="auto" w:frame="1"/>
          <w:lang w:eastAsia="en-GB"/>
        </w:rPr>
        <w:t xml:space="preserve">Coronavirus (COVID-19) Catch up </w:t>
      </w:r>
      <w:r w:rsidR="00366B95">
        <w:rPr>
          <w:rFonts w:ascii="Tahoma" w:eastAsia="Times New Roman" w:hAnsi="Tahoma" w:cs="Tahoma"/>
          <w:b/>
          <w:bCs/>
          <w:color w:val="538135" w:themeColor="accent6" w:themeShade="BF"/>
          <w:sz w:val="20"/>
          <w:szCs w:val="20"/>
          <w:u w:val="single"/>
          <w:bdr w:val="none" w:sz="0" w:space="0" w:color="auto" w:frame="1"/>
          <w:lang w:eastAsia="en-GB"/>
        </w:rPr>
        <w:t>Funding</w:t>
      </w:r>
      <w:r w:rsidR="00126B41" w:rsidRPr="00272CAE">
        <w:rPr>
          <w:rFonts w:ascii="Tahoma" w:eastAsia="Times New Roman" w:hAnsi="Tahoma" w:cs="Tahoma"/>
          <w:b/>
          <w:bCs/>
          <w:color w:val="538135" w:themeColor="accent6" w:themeShade="BF"/>
          <w:sz w:val="20"/>
          <w:szCs w:val="20"/>
          <w:u w:val="single"/>
          <w:bdr w:val="none" w:sz="0" w:space="0" w:color="auto" w:frame="1"/>
          <w:lang w:eastAsia="en-GB"/>
        </w:rPr>
        <w:t xml:space="preserve"> 20</w:t>
      </w:r>
      <w:r w:rsidR="00CD073F">
        <w:rPr>
          <w:rFonts w:ascii="Tahoma" w:eastAsia="Times New Roman" w:hAnsi="Tahoma" w:cs="Tahoma"/>
          <w:b/>
          <w:bCs/>
          <w:color w:val="538135" w:themeColor="accent6" w:themeShade="BF"/>
          <w:sz w:val="20"/>
          <w:szCs w:val="20"/>
          <w:u w:val="single"/>
          <w:bdr w:val="none" w:sz="0" w:space="0" w:color="auto" w:frame="1"/>
          <w:lang w:eastAsia="en-GB"/>
        </w:rPr>
        <w:t>20</w:t>
      </w:r>
      <w:r w:rsidR="00126B41" w:rsidRPr="00272CAE">
        <w:rPr>
          <w:rFonts w:ascii="Tahoma" w:eastAsia="Times New Roman" w:hAnsi="Tahoma" w:cs="Tahoma"/>
          <w:b/>
          <w:bCs/>
          <w:color w:val="538135" w:themeColor="accent6" w:themeShade="BF"/>
          <w:sz w:val="20"/>
          <w:szCs w:val="20"/>
          <w:u w:val="single"/>
          <w:bdr w:val="none" w:sz="0" w:space="0" w:color="auto" w:frame="1"/>
          <w:lang w:eastAsia="en-GB"/>
        </w:rPr>
        <w:t>-20</w:t>
      </w:r>
      <w:r w:rsidR="00CD073F">
        <w:rPr>
          <w:rFonts w:ascii="Tahoma" w:eastAsia="Times New Roman" w:hAnsi="Tahoma" w:cs="Tahoma"/>
          <w:b/>
          <w:bCs/>
          <w:color w:val="538135" w:themeColor="accent6" w:themeShade="BF"/>
          <w:sz w:val="20"/>
          <w:szCs w:val="20"/>
          <w:u w:val="single"/>
          <w:bdr w:val="none" w:sz="0" w:space="0" w:color="auto" w:frame="1"/>
          <w:lang w:eastAsia="en-GB"/>
        </w:rPr>
        <w:t>21</w:t>
      </w:r>
    </w:p>
    <w:p w14:paraId="0A37501D" w14:textId="77777777" w:rsidR="00366B95" w:rsidRDefault="00366B95" w:rsidP="00C37397">
      <w:pPr>
        <w:shd w:val="clear" w:color="auto" w:fill="FFFFFF"/>
        <w:spacing w:after="0" w:line="240" w:lineRule="auto"/>
        <w:textAlignment w:val="top"/>
        <w:rPr>
          <w:rFonts w:ascii="Tahoma" w:eastAsia="Times New Roman" w:hAnsi="Tahoma" w:cs="Tahoma"/>
          <w:color w:val="000000" w:themeColor="text1"/>
          <w:sz w:val="20"/>
          <w:szCs w:val="20"/>
          <w:lang w:eastAsia="en-GB"/>
        </w:rPr>
      </w:pPr>
    </w:p>
    <w:p w14:paraId="22FE02DC" w14:textId="53AA34D4" w:rsidR="00392510" w:rsidRPr="00392510" w:rsidRDefault="00392510" w:rsidP="00392510">
      <w:pPr>
        <w:rPr>
          <w:rFonts w:ascii="Tahoma" w:hAnsi="Tahoma" w:cs="Tahoma"/>
          <w:sz w:val="20"/>
          <w:szCs w:val="20"/>
        </w:rPr>
      </w:pPr>
      <w:r w:rsidRPr="00392510">
        <w:rPr>
          <w:rFonts w:ascii="Tahoma" w:hAnsi="Tahoma" w:cs="Tahoma"/>
          <w:sz w:val="20"/>
          <w:szCs w:val="20"/>
        </w:rPr>
        <w:t xml:space="preserve">The following plan outlines St Oswald’s Catholic Primary School’s intention regarding the catch up funding provided by the DFE. This funding (£80per child) will be used to help children close the gap(s) in their learning that have appeared following school closures due to Covid-19.  St Oswald’s Catholic Primary School will receive a projected £19,440.00, paid into school’s budget in </w:t>
      </w:r>
      <w:r w:rsidR="007F2CD1">
        <w:rPr>
          <w:rFonts w:ascii="Tahoma" w:hAnsi="Tahoma" w:cs="Tahoma"/>
          <w:sz w:val="20"/>
          <w:szCs w:val="20"/>
        </w:rPr>
        <w:t xml:space="preserve">instalments. We have received the </w:t>
      </w:r>
      <w:r w:rsidR="00844A13">
        <w:rPr>
          <w:rFonts w:ascii="Tahoma" w:hAnsi="Tahoma" w:cs="Tahoma"/>
          <w:sz w:val="20"/>
          <w:szCs w:val="20"/>
        </w:rPr>
        <w:t>two</w:t>
      </w:r>
      <w:r w:rsidR="007F2CD1">
        <w:rPr>
          <w:rFonts w:ascii="Tahoma" w:hAnsi="Tahoma" w:cs="Tahoma"/>
          <w:sz w:val="20"/>
          <w:szCs w:val="20"/>
        </w:rPr>
        <w:t xml:space="preserve"> payment</w:t>
      </w:r>
      <w:r w:rsidR="00844A13">
        <w:rPr>
          <w:rFonts w:ascii="Tahoma" w:hAnsi="Tahoma" w:cs="Tahoma"/>
          <w:sz w:val="20"/>
          <w:szCs w:val="20"/>
        </w:rPr>
        <w:t xml:space="preserve">s, one in September 2020 </w:t>
      </w:r>
      <w:r w:rsidR="00C52787">
        <w:rPr>
          <w:rFonts w:ascii="Tahoma" w:hAnsi="Tahoma" w:cs="Tahoma"/>
          <w:sz w:val="20"/>
          <w:szCs w:val="20"/>
        </w:rPr>
        <w:t>o</w:t>
      </w:r>
      <w:bookmarkStart w:id="0" w:name="_GoBack"/>
      <w:bookmarkEnd w:id="0"/>
      <w:r w:rsidR="007F2CD1">
        <w:rPr>
          <w:rFonts w:ascii="Tahoma" w:hAnsi="Tahoma" w:cs="Tahoma"/>
          <w:sz w:val="20"/>
          <w:szCs w:val="20"/>
        </w:rPr>
        <w:t>f £</w:t>
      </w:r>
      <w:r w:rsidR="00844A13">
        <w:rPr>
          <w:rFonts w:ascii="Tahoma" w:hAnsi="Tahoma" w:cs="Tahoma"/>
          <w:sz w:val="20"/>
          <w:szCs w:val="20"/>
        </w:rPr>
        <w:t>4880.00 and one in February 2021 of £6424</w:t>
      </w:r>
      <w:proofErr w:type="gramStart"/>
      <w:r w:rsidR="0049105E">
        <w:rPr>
          <w:rFonts w:ascii="Tahoma" w:hAnsi="Tahoma" w:cs="Tahoma"/>
          <w:sz w:val="20"/>
          <w:szCs w:val="20"/>
        </w:rPr>
        <w:t>.</w:t>
      </w:r>
      <w:r w:rsidR="00844A13">
        <w:rPr>
          <w:rFonts w:ascii="Tahoma" w:hAnsi="Tahoma" w:cs="Tahoma"/>
          <w:sz w:val="20"/>
          <w:szCs w:val="20"/>
        </w:rPr>
        <w:t>.00</w:t>
      </w:r>
      <w:proofErr w:type="gramEnd"/>
      <w:r w:rsidR="00844A13">
        <w:rPr>
          <w:rFonts w:ascii="Tahoma" w:hAnsi="Tahoma" w:cs="Tahoma"/>
          <w:sz w:val="20"/>
          <w:szCs w:val="20"/>
        </w:rPr>
        <w:t xml:space="preserve">. </w:t>
      </w:r>
    </w:p>
    <w:p w14:paraId="4568769F" w14:textId="1F9B6CA2" w:rsidR="00392510" w:rsidRPr="00392510" w:rsidRDefault="2AE57C39" w:rsidP="00392510">
      <w:pPr>
        <w:rPr>
          <w:rFonts w:ascii="Tahoma" w:hAnsi="Tahoma" w:cs="Tahoma"/>
          <w:sz w:val="20"/>
          <w:szCs w:val="20"/>
          <w:u w:val="single"/>
        </w:rPr>
      </w:pPr>
      <w:r w:rsidRPr="2AE57C39">
        <w:rPr>
          <w:rFonts w:ascii="Tahoma" w:hAnsi="Tahoma" w:cs="Tahoma"/>
          <w:b/>
          <w:bCs/>
          <w:sz w:val="20"/>
          <w:szCs w:val="20"/>
          <w:u w:val="single"/>
        </w:rPr>
        <w:t>Action</w:t>
      </w:r>
      <w:r w:rsidRPr="2AE57C39">
        <w:rPr>
          <w:rFonts w:ascii="Tahoma" w:hAnsi="Tahoma" w:cs="Tahoma"/>
          <w:sz w:val="20"/>
          <w:szCs w:val="20"/>
        </w:rPr>
        <w:t xml:space="preserve"> – Teachers will deliver targeted close the gap high quality lessons</w:t>
      </w:r>
      <w:r w:rsidRPr="2AE57C39">
        <w:rPr>
          <w:rFonts w:ascii="Tahoma" w:hAnsi="Tahoma" w:cs="Tahoma"/>
          <w:sz w:val="20"/>
          <w:szCs w:val="20"/>
          <w:u w:val="single"/>
        </w:rPr>
        <w:t xml:space="preserve">. </w:t>
      </w:r>
    </w:p>
    <w:p w14:paraId="02020A8B" w14:textId="77777777" w:rsidR="00392510" w:rsidRPr="00392510" w:rsidRDefault="00392510" w:rsidP="00392510">
      <w:pPr>
        <w:rPr>
          <w:rFonts w:ascii="Tahoma" w:hAnsi="Tahoma" w:cs="Tahoma"/>
          <w:sz w:val="20"/>
          <w:szCs w:val="20"/>
          <w:u w:val="single"/>
        </w:rPr>
      </w:pPr>
      <w:r w:rsidRPr="00392510">
        <w:rPr>
          <w:rFonts w:ascii="Tahoma" w:hAnsi="Tahoma" w:cs="Tahoma"/>
          <w:b/>
          <w:sz w:val="20"/>
          <w:szCs w:val="20"/>
          <w:u w:val="single"/>
        </w:rPr>
        <w:t>Impact</w:t>
      </w:r>
      <w:r w:rsidRPr="00392510">
        <w:rPr>
          <w:rFonts w:ascii="Tahoma" w:hAnsi="Tahoma" w:cs="Tahoma"/>
          <w:sz w:val="20"/>
          <w:szCs w:val="20"/>
          <w:u w:val="single"/>
        </w:rPr>
        <w:t xml:space="preserve"> – </w:t>
      </w:r>
      <w:r w:rsidRPr="00392510">
        <w:rPr>
          <w:rFonts w:ascii="Tahoma" w:hAnsi="Tahoma" w:cs="Tahoma"/>
          <w:sz w:val="20"/>
          <w:szCs w:val="20"/>
        </w:rPr>
        <w:t>Learners will make rapid progress to close the gaps in their learning</w:t>
      </w:r>
      <w:r w:rsidRPr="00392510">
        <w:rPr>
          <w:rFonts w:ascii="Tahoma" w:hAnsi="Tahoma" w:cs="Tahoma"/>
          <w:sz w:val="20"/>
          <w:szCs w:val="20"/>
          <w:u w:val="single"/>
        </w:rPr>
        <w:t>.</w:t>
      </w:r>
    </w:p>
    <w:p w14:paraId="4DFC898A" w14:textId="77777777" w:rsidR="00392510" w:rsidRPr="00392510" w:rsidRDefault="00392510" w:rsidP="00392510">
      <w:pPr>
        <w:rPr>
          <w:rFonts w:ascii="Tahoma" w:hAnsi="Tahoma" w:cs="Tahoma"/>
          <w:sz w:val="20"/>
          <w:szCs w:val="20"/>
        </w:rPr>
      </w:pPr>
      <w:r w:rsidRPr="00392510">
        <w:rPr>
          <w:rFonts w:ascii="Tahoma" w:hAnsi="Tahoma" w:cs="Tahoma"/>
          <w:b/>
          <w:sz w:val="20"/>
          <w:szCs w:val="20"/>
          <w:u w:val="single"/>
        </w:rPr>
        <w:t>Outcome</w:t>
      </w:r>
      <w:r w:rsidRPr="00392510">
        <w:rPr>
          <w:rFonts w:ascii="Tahoma" w:hAnsi="Tahoma" w:cs="Tahoma"/>
          <w:sz w:val="20"/>
          <w:szCs w:val="20"/>
          <w:u w:val="single"/>
        </w:rPr>
        <w:t xml:space="preserve"> – </w:t>
      </w:r>
      <w:r w:rsidRPr="00392510">
        <w:rPr>
          <w:rFonts w:ascii="Tahoma" w:hAnsi="Tahoma" w:cs="Tahoma"/>
          <w:sz w:val="20"/>
          <w:szCs w:val="20"/>
        </w:rPr>
        <w:t>Learners will</w:t>
      </w:r>
      <w:r w:rsidRPr="00392510">
        <w:rPr>
          <w:rFonts w:ascii="Tahoma" w:hAnsi="Tahoma" w:cs="Tahoma"/>
          <w:sz w:val="20"/>
          <w:szCs w:val="20"/>
          <w:u w:val="single"/>
        </w:rPr>
        <w:t xml:space="preserve"> </w:t>
      </w:r>
      <w:r w:rsidRPr="00392510">
        <w:rPr>
          <w:rFonts w:ascii="Tahoma" w:hAnsi="Tahoma" w:cs="Tahoma"/>
          <w:sz w:val="20"/>
          <w:szCs w:val="20"/>
        </w:rPr>
        <w:t xml:space="preserve">be at age related expectations in areas that have been targeted. </w:t>
      </w:r>
    </w:p>
    <w:p w14:paraId="4D559489" w14:textId="77777777" w:rsidR="00392510" w:rsidRPr="00392510" w:rsidRDefault="00392510" w:rsidP="00392510">
      <w:pPr>
        <w:rPr>
          <w:rFonts w:ascii="Tahoma" w:hAnsi="Tahoma" w:cs="Tahoma"/>
          <w:sz w:val="20"/>
          <w:szCs w:val="20"/>
        </w:rPr>
      </w:pPr>
      <w:r w:rsidRPr="00392510">
        <w:rPr>
          <w:rFonts w:ascii="Tahoma" w:hAnsi="Tahoma" w:cs="Tahoma"/>
          <w:sz w:val="20"/>
          <w:szCs w:val="20"/>
        </w:rPr>
        <w:t xml:space="preserve">The most effective method to close the gap within children’s education is quality first teaching. However, there are times when specific children require further support. Furthermore, due to the significant impact of school closures due to Covid-19 and following initial assessment of children in September further children have fallen behind the expected standard. </w:t>
      </w:r>
    </w:p>
    <w:p w14:paraId="1FE70DDF" w14:textId="446B2404" w:rsidR="00392510" w:rsidRPr="00392510" w:rsidRDefault="2AE57C39" w:rsidP="00392510">
      <w:pPr>
        <w:rPr>
          <w:rFonts w:ascii="Tahoma" w:hAnsi="Tahoma" w:cs="Tahoma"/>
          <w:sz w:val="20"/>
          <w:szCs w:val="20"/>
        </w:rPr>
      </w:pPr>
      <w:r w:rsidRPr="2AE57C39">
        <w:rPr>
          <w:rFonts w:ascii="Tahoma" w:hAnsi="Tahoma" w:cs="Tahoma"/>
          <w:sz w:val="20"/>
          <w:szCs w:val="20"/>
        </w:rPr>
        <w:t xml:space="preserve">Teachers are to tailor their sessions to the needs of the children and focus on Reading, Writing &amp; Maths. Teachers are to target children that are not at the expected level but with short term intervention will make progress. </w:t>
      </w:r>
    </w:p>
    <w:p w14:paraId="65A5A7A4" w14:textId="77777777" w:rsidR="00392510" w:rsidRPr="00987AC9" w:rsidRDefault="00392510" w:rsidP="00392510">
      <w:pPr>
        <w:rPr>
          <w:rFonts w:ascii="Tahoma" w:hAnsi="Tahoma" w:cs="Tahoma"/>
          <w:b/>
          <w:bCs/>
          <w:color w:val="538135" w:themeColor="accent6" w:themeShade="BF"/>
          <w:sz w:val="20"/>
          <w:szCs w:val="20"/>
          <w:u w:val="single"/>
        </w:rPr>
      </w:pPr>
      <w:r w:rsidRPr="00987AC9">
        <w:rPr>
          <w:rFonts w:ascii="Tahoma" w:hAnsi="Tahoma" w:cs="Tahoma"/>
          <w:b/>
          <w:bCs/>
          <w:color w:val="538135" w:themeColor="accent6" w:themeShade="BF"/>
          <w:sz w:val="20"/>
          <w:szCs w:val="20"/>
          <w:u w:val="single"/>
        </w:rPr>
        <w:t>The St Oswald’s Catholic Primary School catch up program</w:t>
      </w:r>
    </w:p>
    <w:p w14:paraId="2C814B85" w14:textId="77777777" w:rsidR="00EA20F4" w:rsidRPr="00EA20F4" w:rsidRDefault="00EA20F4" w:rsidP="00EA20F4">
      <w:pPr>
        <w:shd w:val="clear" w:color="auto" w:fill="FFFFFF"/>
        <w:spacing w:after="0" w:line="360" w:lineRule="atLeast"/>
        <w:rPr>
          <w:rFonts w:ascii="Tahoma" w:eastAsia="Times New Roman" w:hAnsi="Tahoma" w:cs="Tahoma"/>
          <w:color w:val="4A474B"/>
          <w:sz w:val="20"/>
          <w:szCs w:val="20"/>
          <w:lang w:eastAsia="en-GB"/>
        </w:rPr>
      </w:pPr>
      <w:r w:rsidRPr="00987AC9">
        <w:rPr>
          <w:rFonts w:ascii="Tahoma" w:eastAsia="Times New Roman" w:hAnsi="Tahoma" w:cs="Tahoma"/>
          <w:b/>
          <w:bCs/>
          <w:color w:val="4A474B"/>
          <w:sz w:val="20"/>
          <w:szCs w:val="20"/>
          <w:lang w:eastAsia="en-GB"/>
        </w:rPr>
        <w:t>S</w:t>
      </w:r>
      <w:r w:rsidRPr="00EA20F4">
        <w:rPr>
          <w:rFonts w:ascii="Tahoma" w:eastAsia="Times New Roman" w:hAnsi="Tahoma" w:cs="Tahoma"/>
          <w:b/>
          <w:bCs/>
          <w:color w:val="4A474B"/>
          <w:sz w:val="20"/>
          <w:szCs w:val="20"/>
          <w:lang w:eastAsia="en-GB"/>
        </w:rPr>
        <w:t>pending:</w:t>
      </w:r>
    </w:p>
    <w:p w14:paraId="713CF658" w14:textId="77777777" w:rsidR="00EA20F4" w:rsidRDefault="00EA20F4" w:rsidP="00EA20F4">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At </w:t>
      </w:r>
      <w:r w:rsidRPr="00987AC9">
        <w:rPr>
          <w:rFonts w:ascii="Tahoma" w:eastAsia="Times New Roman" w:hAnsi="Tahoma" w:cs="Tahoma"/>
          <w:color w:val="4A474B"/>
          <w:sz w:val="20"/>
          <w:szCs w:val="20"/>
          <w:lang w:eastAsia="en-GB"/>
        </w:rPr>
        <w:t>St Oswald’s</w:t>
      </w:r>
      <w:r w:rsidRPr="00EA20F4">
        <w:rPr>
          <w:rFonts w:ascii="Tahoma" w:eastAsia="Times New Roman" w:hAnsi="Tahoma" w:cs="Tahoma"/>
          <w:color w:val="4A474B"/>
          <w:sz w:val="20"/>
          <w:szCs w:val="20"/>
          <w:lang w:eastAsia="en-GB"/>
        </w:rPr>
        <w:t>, this money will be used in order to:</w:t>
      </w:r>
    </w:p>
    <w:p w14:paraId="5DAB6C7B" w14:textId="77777777" w:rsidR="00987AC9" w:rsidRDefault="00987AC9" w:rsidP="00987AC9">
      <w:pPr>
        <w:shd w:val="clear" w:color="auto" w:fill="FFFFFF"/>
        <w:spacing w:after="0" w:line="240" w:lineRule="auto"/>
        <w:rPr>
          <w:rFonts w:ascii="Tahoma" w:eastAsia="Times New Roman" w:hAnsi="Tahoma" w:cs="Tahoma"/>
          <w:color w:val="4A474B"/>
          <w:sz w:val="20"/>
          <w:szCs w:val="20"/>
          <w:lang w:eastAsia="en-GB"/>
        </w:rPr>
      </w:pPr>
    </w:p>
    <w:p w14:paraId="1AF587C4" w14:textId="4D781584" w:rsidR="00987AC9" w:rsidRPr="00987AC9" w:rsidRDefault="2AE57C39" w:rsidP="2AE57C39">
      <w:pPr>
        <w:numPr>
          <w:ilvl w:val="0"/>
          <w:numId w:val="24"/>
        </w:numPr>
        <w:shd w:val="clear" w:color="auto" w:fill="FFFFFF" w:themeFill="background1"/>
        <w:spacing w:after="0" w:line="240" w:lineRule="auto"/>
        <w:ind w:left="0"/>
        <w:rPr>
          <w:rFonts w:ascii="Tahoma" w:eastAsia="Times New Roman" w:hAnsi="Tahoma" w:cs="Tahoma"/>
          <w:color w:val="4A474B"/>
          <w:sz w:val="20"/>
          <w:szCs w:val="20"/>
          <w:lang w:eastAsia="en-GB"/>
        </w:rPr>
      </w:pPr>
      <w:r w:rsidRPr="2AE57C39">
        <w:rPr>
          <w:rFonts w:ascii="Tahoma" w:eastAsia="Times New Roman" w:hAnsi="Tahoma" w:cs="Tahoma"/>
          <w:color w:val="4A474B"/>
          <w:sz w:val="20"/>
          <w:szCs w:val="20"/>
          <w:lang w:eastAsia="en-GB"/>
        </w:rPr>
        <w:t>Purchase curriculum resources and materials that support pupils to get “back on track”. These include reading books, across the Key Stages.</w:t>
      </w:r>
    </w:p>
    <w:p w14:paraId="02EB378F" w14:textId="77777777" w:rsidR="00987AC9" w:rsidRDefault="00987AC9" w:rsidP="00987AC9">
      <w:pPr>
        <w:shd w:val="clear" w:color="auto" w:fill="FFFFFF"/>
        <w:spacing w:after="0" w:line="240" w:lineRule="auto"/>
        <w:rPr>
          <w:rFonts w:ascii="Tahoma" w:eastAsia="Times New Roman" w:hAnsi="Tahoma" w:cs="Tahoma"/>
          <w:color w:val="4A474B"/>
          <w:sz w:val="20"/>
          <w:szCs w:val="20"/>
          <w:lang w:eastAsia="en-GB"/>
        </w:rPr>
      </w:pPr>
    </w:p>
    <w:p w14:paraId="468D449E" w14:textId="77777777" w:rsidR="00EA20F4" w:rsidRPr="00EA20F4" w:rsidRDefault="00EA20F4" w:rsidP="00EA20F4">
      <w:pPr>
        <w:numPr>
          <w:ilvl w:val="0"/>
          <w:numId w:val="24"/>
        </w:numPr>
        <w:shd w:val="clear" w:color="auto" w:fill="FFFFFF"/>
        <w:spacing w:after="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Fund additional </w:t>
      </w:r>
      <w:r w:rsidR="005315AC">
        <w:rPr>
          <w:rFonts w:ascii="Tahoma" w:eastAsia="Times New Roman" w:hAnsi="Tahoma" w:cs="Tahoma"/>
          <w:color w:val="4A474B"/>
          <w:sz w:val="20"/>
          <w:szCs w:val="20"/>
          <w:lang w:eastAsia="en-GB"/>
        </w:rPr>
        <w:t xml:space="preserve">hours for </w:t>
      </w:r>
      <w:r w:rsidRPr="00EA20F4">
        <w:rPr>
          <w:rFonts w:ascii="Tahoma" w:eastAsia="Times New Roman" w:hAnsi="Tahoma" w:cs="Tahoma"/>
          <w:color w:val="4A474B"/>
          <w:sz w:val="20"/>
          <w:szCs w:val="20"/>
          <w:lang w:eastAsia="en-GB"/>
        </w:rPr>
        <w:t>support staff to develop the outcomes of children who have been identified as needing “catch up” in their learning.</w:t>
      </w:r>
    </w:p>
    <w:p w14:paraId="6A05A809" w14:textId="77777777" w:rsidR="00987AC9" w:rsidRDefault="00987AC9" w:rsidP="00987AC9">
      <w:pPr>
        <w:shd w:val="clear" w:color="auto" w:fill="FFFFFF"/>
        <w:spacing w:after="0" w:line="240" w:lineRule="auto"/>
        <w:rPr>
          <w:rFonts w:ascii="Tahoma" w:eastAsia="Times New Roman" w:hAnsi="Tahoma" w:cs="Tahoma"/>
          <w:b/>
          <w:bCs/>
          <w:color w:val="4A474B"/>
          <w:sz w:val="20"/>
          <w:szCs w:val="20"/>
          <w:lang w:eastAsia="en-GB"/>
        </w:rPr>
      </w:pPr>
    </w:p>
    <w:p w14:paraId="62FB73D2" w14:textId="77777777" w:rsidR="00EA20F4" w:rsidRPr="00EA20F4" w:rsidRDefault="00EA20F4" w:rsidP="00987AC9">
      <w:pPr>
        <w:shd w:val="clear" w:color="auto" w:fill="FFFFFF"/>
        <w:spacing w:after="0" w:line="240" w:lineRule="auto"/>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Aims</w:t>
      </w:r>
      <w:r w:rsidR="00987AC9">
        <w:rPr>
          <w:rFonts w:ascii="Tahoma" w:eastAsia="Times New Roman" w:hAnsi="Tahoma" w:cs="Tahoma"/>
          <w:b/>
          <w:bCs/>
          <w:color w:val="4A474B"/>
          <w:sz w:val="20"/>
          <w:szCs w:val="20"/>
          <w:lang w:eastAsia="en-GB"/>
        </w:rPr>
        <w:t>:</w:t>
      </w:r>
    </w:p>
    <w:p w14:paraId="36D9DB7B" w14:textId="77777777" w:rsidR="00EA20F4" w:rsidRDefault="00EA20F4" w:rsidP="00987AC9">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The broad aims for “catch up” at </w:t>
      </w:r>
      <w:r w:rsidR="00987AC9">
        <w:rPr>
          <w:rFonts w:ascii="Tahoma" w:eastAsia="Times New Roman" w:hAnsi="Tahoma" w:cs="Tahoma"/>
          <w:color w:val="4A474B"/>
          <w:sz w:val="20"/>
          <w:szCs w:val="20"/>
          <w:lang w:eastAsia="en-GB"/>
        </w:rPr>
        <w:t>St Oswald’s</w:t>
      </w:r>
      <w:r w:rsidRPr="00EA20F4">
        <w:rPr>
          <w:rFonts w:ascii="Tahoma" w:eastAsia="Times New Roman" w:hAnsi="Tahoma" w:cs="Tahoma"/>
          <w:color w:val="4A474B"/>
          <w:sz w:val="20"/>
          <w:szCs w:val="20"/>
          <w:lang w:eastAsia="en-GB"/>
        </w:rPr>
        <w:t>:</w:t>
      </w:r>
    </w:p>
    <w:p w14:paraId="5A39BBE3" w14:textId="77777777" w:rsidR="00987AC9" w:rsidRDefault="00987AC9" w:rsidP="00987AC9">
      <w:pPr>
        <w:shd w:val="clear" w:color="auto" w:fill="FFFFFF"/>
        <w:spacing w:after="0" w:line="360" w:lineRule="atLeast"/>
        <w:rPr>
          <w:rFonts w:ascii="Tahoma" w:eastAsia="Times New Roman" w:hAnsi="Tahoma" w:cs="Tahoma"/>
          <w:color w:val="4A474B"/>
          <w:sz w:val="20"/>
          <w:szCs w:val="20"/>
          <w:lang w:eastAsia="en-GB"/>
        </w:rPr>
      </w:pPr>
    </w:p>
    <w:p w14:paraId="6F62477E" w14:textId="77777777" w:rsidR="00987AC9" w:rsidRDefault="00EA20F4" w:rsidP="009F449C">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Attainment outcomes at end of 2020-21 for all year groups will be at least in line with those at the point of lockdown in March. This means that if a child was working at an age-related expectation in a subject in March they are working at least to an age-related expectation in that same subject by the end of the year.</w:t>
      </w:r>
    </w:p>
    <w:p w14:paraId="5B7E50B5" w14:textId="77777777" w:rsidR="00EA20F4" w:rsidRPr="00EA20F4" w:rsidRDefault="00EA20F4" w:rsidP="009F449C">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lastRenderedPageBreak/>
        <w:t>By the end of the 2021-22 year, attainment outcomes for all year groups will be at least in line with those at the end of the 2019-20 year.</w:t>
      </w:r>
    </w:p>
    <w:p w14:paraId="13D61CE3" w14:textId="77777777" w:rsidR="00EA20F4" w:rsidRPr="00EA20F4" w:rsidRDefault="00EA20F4" w:rsidP="00EA20F4">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The mental health needs of pupils that have arisen as a result of the pandemic are met and supported by the school.</w:t>
      </w:r>
    </w:p>
    <w:p w14:paraId="76D28113" w14:textId="77777777" w:rsidR="00EA20F4" w:rsidRPr="00EA20F4" w:rsidRDefault="00EA20F4" w:rsidP="00EA20F4">
      <w:pPr>
        <w:shd w:val="clear" w:color="auto" w:fill="FFFFFF"/>
        <w:spacing w:before="240" w:after="120" w:line="240" w:lineRule="auto"/>
        <w:outlineLvl w:val="1"/>
        <w:rPr>
          <w:rFonts w:ascii="Tahoma" w:eastAsia="Times New Roman" w:hAnsi="Tahoma" w:cs="Tahoma"/>
          <w:b/>
          <w:bCs/>
          <w:color w:val="538135" w:themeColor="accent6" w:themeShade="BF"/>
          <w:sz w:val="20"/>
          <w:szCs w:val="20"/>
          <w:lang w:eastAsia="en-GB"/>
        </w:rPr>
      </w:pPr>
      <w:r w:rsidRPr="00EA20F4">
        <w:rPr>
          <w:rFonts w:ascii="Tahoma" w:eastAsia="Times New Roman" w:hAnsi="Tahoma" w:cs="Tahoma"/>
          <w:b/>
          <w:bCs/>
          <w:color w:val="538135" w:themeColor="accent6" w:themeShade="BF"/>
          <w:sz w:val="20"/>
          <w:szCs w:val="20"/>
          <w:lang w:eastAsia="en-GB"/>
        </w:rPr>
        <w:t xml:space="preserve">Catch Up at </w:t>
      </w:r>
      <w:r w:rsidR="00987AC9" w:rsidRPr="00987AC9">
        <w:rPr>
          <w:rFonts w:ascii="Tahoma" w:eastAsia="Times New Roman" w:hAnsi="Tahoma" w:cs="Tahoma"/>
          <w:b/>
          <w:bCs/>
          <w:color w:val="538135" w:themeColor="accent6" w:themeShade="BF"/>
          <w:sz w:val="20"/>
          <w:szCs w:val="20"/>
          <w:lang w:eastAsia="en-GB"/>
        </w:rPr>
        <w:t>St Oswald’s</w:t>
      </w:r>
      <w:r w:rsidRPr="00EA20F4">
        <w:rPr>
          <w:rFonts w:ascii="Tahoma" w:eastAsia="Times New Roman" w:hAnsi="Tahoma" w:cs="Tahoma"/>
          <w:b/>
          <w:bCs/>
          <w:color w:val="538135" w:themeColor="accent6" w:themeShade="BF"/>
          <w:sz w:val="20"/>
          <w:szCs w:val="20"/>
          <w:lang w:eastAsia="en-GB"/>
        </w:rPr>
        <w:t xml:space="preserve"> is</w:t>
      </w:r>
      <w:r w:rsidR="00987AC9" w:rsidRPr="00987AC9">
        <w:rPr>
          <w:rFonts w:ascii="Tahoma" w:eastAsia="Times New Roman" w:hAnsi="Tahoma" w:cs="Tahoma"/>
          <w:b/>
          <w:bCs/>
          <w:color w:val="538135" w:themeColor="accent6" w:themeShade="BF"/>
          <w:sz w:val="20"/>
          <w:szCs w:val="20"/>
          <w:lang w:eastAsia="en-GB"/>
        </w:rPr>
        <w:t>:</w:t>
      </w:r>
    </w:p>
    <w:p w14:paraId="4B7FF14A" w14:textId="77777777" w:rsidR="00EA20F4" w:rsidRPr="00EA20F4" w:rsidRDefault="00EA20F4" w:rsidP="00987AC9">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i/>
          <w:iCs/>
          <w:color w:val="4A474B"/>
          <w:sz w:val="20"/>
          <w:szCs w:val="20"/>
          <w:lang w:eastAsia="en-GB"/>
        </w:rPr>
        <w:t>(For all children)</w:t>
      </w:r>
    </w:p>
    <w:p w14:paraId="22786810" w14:textId="77777777" w:rsidR="005315AC" w:rsidRDefault="00EA20F4" w:rsidP="008F40E2">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5315AC">
        <w:rPr>
          <w:rFonts w:ascii="Tahoma" w:eastAsia="Times New Roman" w:hAnsi="Tahoma" w:cs="Tahoma"/>
          <w:b/>
          <w:bCs/>
          <w:color w:val="4A474B"/>
          <w:sz w:val="20"/>
          <w:szCs w:val="20"/>
          <w:lang w:eastAsia="en-GB"/>
        </w:rPr>
        <w:t>Working through well sequenced, purposeful learning schemes</w:t>
      </w:r>
      <w:r w:rsidRPr="005315AC">
        <w:rPr>
          <w:rFonts w:ascii="Tahoma" w:eastAsia="Times New Roman" w:hAnsi="Tahoma" w:cs="Tahoma"/>
          <w:color w:val="4A474B"/>
          <w:sz w:val="20"/>
          <w:szCs w:val="20"/>
          <w:lang w:eastAsia="en-GB"/>
        </w:rPr>
        <w:t xml:space="preserve">. For example, our school-created writing schemes are being adapted to focus on missed objectives and consolidate the basics. </w:t>
      </w:r>
    </w:p>
    <w:p w14:paraId="53C6C69B" w14:textId="77777777" w:rsidR="00EA20F4" w:rsidRPr="005315AC" w:rsidRDefault="00EA20F4" w:rsidP="008F40E2">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5315AC">
        <w:rPr>
          <w:rFonts w:ascii="Tahoma" w:eastAsia="Times New Roman" w:hAnsi="Tahoma" w:cs="Tahoma"/>
          <w:b/>
          <w:bCs/>
          <w:color w:val="4A474B"/>
          <w:sz w:val="20"/>
          <w:szCs w:val="20"/>
          <w:lang w:eastAsia="en-GB"/>
        </w:rPr>
        <w:t>Focus on consolidation of basic skills</w:t>
      </w:r>
      <w:r w:rsidRPr="005315AC">
        <w:rPr>
          <w:rFonts w:ascii="Tahoma" w:eastAsia="Times New Roman" w:hAnsi="Tahoma" w:cs="Tahoma"/>
          <w:color w:val="4A474B"/>
          <w:sz w:val="20"/>
          <w:szCs w:val="20"/>
          <w:lang w:eastAsia="en-GB"/>
        </w:rPr>
        <w:t xml:space="preserve">. The core skills which enable successful learning will require increased curriculum time across all year groups. These include: handwriting, spelling of high frequency words, basic sentence punctuation, </w:t>
      </w:r>
      <w:proofErr w:type="gramStart"/>
      <w:r w:rsidRPr="005315AC">
        <w:rPr>
          <w:rFonts w:ascii="Tahoma" w:eastAsia="Times New Roman" w:hAnsi="Tahoma" w:cs="Tahoma"/>
          <w:color w:val="4A474B"/>
          <w:sz w:val="20"/>
          <w:szCs w:val="20"/>
          <w:lang w:eastAsia="en-GB"/>
        </w:rPr>
        <w:t>times</w:t>
      </w:r>
      <w:proofErr w:type="gramEnd"/>
      <w:r w:rsidRPr="005315AC">
        <w:rPr>
          <w:rFonts w:ascii="Tahoma" w:eastAsia="Times New Roman" w:hAnsi="Tahoma" w:cs="Tahoma"/>
          <w:color w:val="4A474B"/>
          <w:sz w:val="20"/>
          <w:szCs w:val="20"/>
          <w:lang w:eastAsia="en-GB"/>
        </w:rPr>
        <w:t xml:space="preserve"> tables recall, basic addition &amp; subtraction fact recall and reading skills relevant to age.</w:t>
      </w:r>
    </w:p>
    <w:p w14:paraId="76F29BA0"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lesson time on core teaching</w:t>
      </w:r>
      <w:r w:rsidRPr="00EA20F4">
        <w:rPr>
          <w:rFonts w:ascii="Tahoma" w:eastAsia="Times New Roman" w:hAnsi="Tahoma" w:cs="Tahoma"/>
          <w:color w:val="4A474B"/>
          <w:sz w:val="20"/>
          <w:szCs w:val="20"/>
          <w:lang w:eastAsia="en-GB"/>
        </w:rPr>
        <w:t>. Reading, writing and maths teaching will require increased teaching time in order to cover missed learning – particularly in the autumn term. In order to keep a broad and balanced curriculum, some subject areas may be taught as blocked days rather than weekly lessons in the autumn term.</w:t>
      </w:r>
    </w:p>
    <w:p w14:paraId="5E370651"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Particular focus on early reading and phonics</w:t>
      </w:r>
      <w:r w:rsidRPr="00EA20F4">
        <w:rPr>
          <w:rFonts w:ascii="Tahoma" w:eastAsia="Times New Roman" w:hAnsi="Tahoma" w:cs="Tahoma"/>
          <w:color w:val="4A474B"/>
          <w:sz w:val="20"/>
          <w:szCs w:val="20"/>
          <w:lang w:eastAsia="en-GB"/>
        </w:rPr>
        <w:t>. This is always a focus in the school and will continue to be so in order to develop children’s reading ability and vocabulary.</w:t>
      </w:r>
    </w:p>
    <w:p w14:paraId="6B4ECC71"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Assessment of learning and of basic skills to identify major gaps</w:t>
      </w:r>
      <w:r w:rsidRPr="00EA20F4">
        <w:rPr>
          <w:rFonts w:ascii="Tahoma" w:eastAsia="Times New Roman" w:hAnsi="Tahoma" w:cs="Tahoma"/>
          <w:color w:val="4A474B"/>
          <w:sz w:val="20"/>
          <w:szCs w:val="20"/>
          <w:lang w:eastAsia="en-GB"/>
        </w:rPr>
        <w:t>. Teachers will work to identify gaps in learning and adapt teaching accordingly.</w:t>
      </w:r>
    </w:p>
    <w:p w14:paraId="555F0A14"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Time spent on mental health, wellbeing and social skills development</w:t>
      </w:r>
      <w:r w:rsidRPr="00EA20F4">
        <w:rPr>
          <w:rFonts w:ascii="Tahoma" w:eastAsia="Times New Roman" w:hAnsi="Tahoma" w:cs="Tahoma"/>
          <w:color w:val="4A474B"/>
          <w:sz w:val="20"/>
          <w:szCs w:val="20"/>
          <w:lang w:eastAsia="en-GB"/>
        </w:rPr>
        <w:t>. This will be at the core of all catch up work as many children will have not been in formal school setting for a number of months.</w:t>
      </w:r>
    </w:p>
    <w:p w14:paraId="76385946" w14:textId="77777777" w:rsidR="00EA20F4" w:rsidRPr="00EA20F4" w:rsidRDefault="00EA20F4" w:rsidP="00987AC9">
      <w:pPr>
        <w:shd w:val="clear" w:color="auto" w:fill="FFFFFF"/>
        <w:spacing w:before="150" w:after="0" w:line="360" w:lineRule="atLeast"/>
        <w:rPr>
          <w:rFonts w:ascii="Tahoma" w:eastAsia="Times New Roman" w:hAnsi="Tahoma" w:cs="Tahoma"/>
          <w:color w:val="4A474B"/>
          <w:sz w:val="20"/>
          <w:szCs w:val="20"/>
          <w:lang w:eastAsia="en-GB"/>
        </w:rPr>
      </w:pPr>
      <w:r w:rsidRPr="00EA20F4">
        <w:rPr>
          <w:rFonts w:ascii="Tahoma" w:eastAsia="Times New Roman" w:hAnsi="Tahoma" w:cs="Tahoma"/>
          <w:i/>
          <w:iCs/>
          <w:color w:val="4A474B"/>
          <w:sz w:val="20"/>
          <w:szCs w:val="20"/>
          <w:lang w:eastAsia="en-GB"/>
        </w:rPr>
        <w:t> (For some children)</w:t>
      </w:r>
    </w:p>
    <w:p w14:paraId="4E9DDDCC" w14:textId="77777777" w:rsidR="00EA20F4" w:rsidRPr="00EA20F4" w:rsidRDefault="00EA20F4" w:rsidP="00EA20F4">
      <w:pPr>
        <w:numPr>
          <w:ilvl w:val="0"/>
          <w:numId w:val="27"/>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support and focus on basic core skills</w:t>
      </w:r>
      <w:r w:rsidRPr="00EA20F4">
        <w:rPr>
          <w:rFonts w:ascii="Tahoma" w:eastAsia="Times New Roman" w:hAnsi="Tahoma" w:cs="Tahoma"/>
          <w:color w:val="4A474B"/>
          <w:sz w:val="20"/>
          <w:szCs w:val="20"/>
          <w:lang w:eastAsia="en-GB"/>
        </w:rPr>
        <w:t>. Supported by additional staffing utilising catch up premium – dependent on need as identified through ongoing assessment.</w:t>
      </w:r>
    </w:p>
    <w:p w14:paraId="3EB0A9AD" w14:textId="77777777" w:rsidR="00EA20F4" w:rsidRPr="00EA20F4" w:rsidRDefault="00EA20F4" w:rsidP="00EA20F4">
      <w:pPr>
        <w:numPr>
          <w:ilvl w:val="0"/>
          <w:numId w:val="27"/>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time to practice basic skills</w:t>
      </w:r>
      <w:r w:rsidRPr="00EA20F4">
        <w:rPr>
          <w:rFonts w:ascii="Tahoma" w:eastAsia="Times New Roman" w:hAnsi="Tahoma" w:cs="Tahoma"/>
          <w:color w:val="4A474B"/>
          <w:sz w:val="20"/>
          <w:szCs w:val="20"/>
          <w:lang w:eastAsia="en-GB"/>
        </w:rPr>
        <w:t>. This again will be dependent on need of children in order to re-establish good progress in the essentials (phonics and reading, increasing vocabulary, writing and mathematics) and there will be flexibility on timetables to allow this.</w:t>
      </w:r>
    </w:p>
    <w:p w14:paraId="0F6DC1DE" w14:textId="77777777" w:rsidR="00EA20F4" w:rsidRPr="00EA20F4" w:rsidRDefault="00EA20F4" w:rsidP="00EA20F4">
      <w:pPr>
        <w:shd w:val="clear" w:color="auto" w:fill="FFFFFF"/>
        <w:spacing w:before="240" w:after="120" w:line="240" w:lineRule="auto"/>
        <w:outlineLvl w:val="1"/>
        <w:rPr>
          <w:rFonts w:ascii="Tahoma" w:eastAsia="Times New Roman" w:hAnsi="Tahoma" w:cs="Tahoma"/>
          <w:b/>
          <w:bCs/>
          <w:color w:val="538135" w:themeColor="accent6" w:themeShade="BF"/>
          <w:sz w:val="20"/>
          <w:szCs w:val="20"/>
          <w:lang w:eastAsia="en-GB"/>
        </w:rPr>
      </w:pPr>
      <w:r w:rsidRPr="00EA20F4">
        <w:rPr>
          <w:rFonts w:ascii="Tahoma" w:eastAsia="Times New Roman" w:hAnsi="Tahoma" w:cs="Tahoma"/>
          <w:b/>
          <w:bCs/>
          <w:color w:val="538135" w:themeColor="accent6" w:themeShade="BF"/>
          <w:sz w:val="20"/>
          <w:szCs w:val="20"/>
          <w:lang w:eastAsia="en-GB"/>
        </w:rPr>
        <w:t xml:space="preserve">Catch up at </w:t>
      </w:r>
      <w:r w:rsidR="00987AC9" w:rsidRPr="00987AC9">
        <w:rPr>
          <w:rFonts w:ascii="Tahoma" w:eastAsia="Times New Roman" w:hAnsi="Tahoma" w:cs="Tahoma"/>
          <w:b/>
          <w:bCs/>
          <w:color w:val="538135" w:themeColor="accent6" w:themeShade="BF"/>
          <w:sz w:val="20"/>
          <w:szCs w:val="20"/>
          <w:lang w:eastAsia="en-GB"/>
        </w:rPr>
        <w:t>St Oswald’s</w:t>
      </w:r>
      <w:r w:rsidRPr="00EA20F4">
        <w:rPr>
          <w:rFonts w:ascii="Tahoma" w:eastAsia="Times New Roman" w:hAnsi="Tahoma" w:cs="Tahoma"/>
          <w:b/>
          <w:bCs/>
          <w:color w:val="538135" w:themeColor="accent6" w:themeShade="BF"/>
          <w:sz w:val="20"/>
          <w:szCs w:val="20"/>
          <w:lang w:eastAsia="en-GB"/>
        </w:rPr>
        <w:t xml:space="preserve"> IS NOT:</w:t>
      </w:r>
    </w:p>
    <w:p w14:paraId="4C9E3782"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Cramming missed learning</w:t>
      </w:r>
    </w:p>
    <w:p w14:paraId="0CB70BAD"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Pressuring children and families into rapid learning</w:t>
      </w:r>
    </w:p>
    <w:p w14:paraId="61E62E41"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Teachers time spent highlighting missed objectives</w:t>
      </w:r>
    </w:p>
    <w:p w14:paraId="768AAC35" w14:textId="77777777" w:rsidR="00392510" w:rsidRPr="00987AC9" w:rsidRDefault="00EA20F4" w:rsidP="00C14528">
      <w:pPr>
        <w:numPr>
          <w:ilvl w:val="0"/>
          <w:numId w:val="28"/>
        </w:numPr>
        <w:shd w:val="clear" w:color="auto" w:fill="FFFFFF"/>
        <w:spacing w:after="180" w:line="288" w:lineRule="atLeast"/>
        <w:ind w:left="0"/>
        <w:textAlignment w:val="baseline"/>
        <w:rPr>
          <w:rFonts w:ascii="Tahoma" w:eastAsia="Times New Roman" w:hAnsi="Tahoma" w:cs="Tahoma"/>
          <w:color w:val="000000" w:themeColor="text1"/>
          <w:sz w:val="20"/>
          <w:szCs w:val="20"/>
          <w:lang w:eastAsia="en-GB"/>
        </w:rPr>
      </w:pPr>
      <w:r w:rsidRPr="005315AC">
        <w:rPr>
          <w:rFonts w:ascii="Tahoma" w:eastAsia="Times New Roman" w:hAnsi="Tahoma" w:cs="Tahoma"/>
          <w:color w:val="4A474B"/>
          <w:sz w:val="20"/>
          <w:szCs w:val="20"/>
          <w:lang w:eastAsia="en-GB"/>
        </w:rPr>
        <w:t>Teachers time spent ticking off assessment points and extra tracking</w:t>
      </w:r>
    </w:p>
    <w:sectPr w:rsidR="00392510" w:rsidRPr="00987AC9" w:rsidSect="00987AC9">
      <w:footerReference w:type="default" r:id="rId9"/>
      <w:pgSz w:w="16838" w:h="11906" w:orient="landscape"/>
      <w:pgMar w:top="993" w:right="1440" w:bottom="142" w:left="1276"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272CAE" w:rsidRDefault="00272CAE" w:rsidP="00272CAE">
      <w:pPr>
        <w:spacing w:after="0" w:line="240" w:lineRule="auto"/>
      </w:pPr>
      <w:r>
        <w:separator/>
      </w:r>
    </w:p>
  </w:endnote>
  <w:endnote w:type="continuationSeparator" w:id="0">
    <w:p w14:paraId="72A3D3EC" w14:textId="77777777" w:rsidR="00272CAE" w:rsidRDefault="00272CAE" w:rsidP="0027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6EF2" w14:textId="77777777" w:rsidR="00272CAE" w:rsidRDefault="00272CAE" w:rsidP="00272CAE">
    <w:pPr>
      <w:pStyle w:val="Footer"/>
      <w:jc w:val="right"/>
      <w:rPr>
        <w:rFonts w:ascii="Comic Sans MS" w:hAnsi="Comic Sans MS"/>
        <w:i/>
        <w:sz w:val="18"/>
        <w:szCs w:val="18"/>
      </w:rPr>
    </w:pPr>
    <w:r w:rsidRPr="009A4159">
      <w:rPr>
        <w:rFonts w:ascii="Comic Sans MS" w:hAnsi="Comic Sans MS"/>
        <w:i/>
        <w:sz w:val="18"/>
        <w:szCs w:val="18"/>
      </w:rPr>
      <w:t xml:space="preserve">St Oswald’s Catholic Primary School </w:t>
    </w:r>
    <w:r w:rsidR="00366B95">
      <w:rPr>
        <w:rFonts w:ascii="Comic Sans MS" w:hAnsi="Comic Sans MS"/>
        <w:i/>
        <w:sz w:val="18"/>
        <w:szCs w:val="18"/>
      </w:rPr>
      <w:t xml:space="preserve">Catch Up Funding </w:t>
    </w:r>
    <w:r w:rsidR="002824DF">
      <w:rPr>
        <w:rFonts w:ascii="Comic Sans MS" w:hAnsi="Comic Sans MS"/>
        <w:i/>
        <w:sz w:val="18"/>
        <w:szCs w:val="18"/>
      </w:rPr>
      <w:t>2020</w:t>
    </w:r>
    <w:r w:rsidR="00366B95">
      <w:rPr>
        <w:rFonts w:ascii="Comic Sans MS" w:hAnsi="Comic Sans MS"/>
        <w:i/>
        <w:sz w:val="18"/>
        <w:szCs w:val="18"/>
      </w:rPr>
      <w:t xml:space="preserve"> - 2021</w:t>
    </w:r>
  </w:p>
  <w:p w14:paraId="60061E4C" w14:textId="77777777" w:rsidR="00725541" w:rsidRPr="009A4159" w:rsidRDefault="00725541" w:rsidP="00272CAE">
    <w:pPr>
      <w:pStyle w:val="Footer"/>
      <w:jc w:val="right"/>
      <w:rPr>
        <w:rFonts w:ascii="Comic Sans MS" w:hAnsi="Comic Sans MS"/>
        <w:i/>
        <w:sz w:val="18"/>
        <w:szCs w:val="18"/>
      </w:rPr>
    </w:pPr>
  </w:p>
  <w:p w14:paraId="44EAFD9C" w14:textId="77777777" w:rsidR="00272CAE" w:rsidRDefault="00272CAE" w:rsidP="00272CAE">
    <w:pPr>
      <w:pStyle w:val="Footer"/>
    </w:pPr>
  </w:p>
  <w:p w14:paraId="4B94D5A5" w14:textId="77777777" w:rsidR="00272CAE" w:rsidRDefault="00272CAE">
    <w:pPr>
      <w:pStyle w:val="Footer"/>
    </w:pPr>
  </w:p>
  <w:p w14:paraId="3DEEC669" w14:textId="77777777" w:rsidR="00272CAE" w:rsidRDefault="0027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272CAE" w:rsidRDefault="00272CAE" w:rsidP="00272CAE">
      <w:pPr>
        <w:spacing w:after="0" w:line="240" w:lineRule="auto"/>
      </w:pPr>
      <w:r>
        <w:separator/>
      </w:r>
    </w:p>
  </w:footnote>
  <w:footnote w:type="continuationSeparator" w:id="0">
    <w:p w14:paraId="0E27B00A" w14:textId="77777777" w:rsidR="00272CAE" w:rsidRDefault="00272CAE" w:rsidP="00272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9DF"/>
    <w:multiLevelType w:val="multilevel"/>
    <w:tmpl w:val="6ED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0060"/>
    <w:multiLevelType w:val="multilevel"/>
    <w:tmpl w:val="3AD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F9A"/>
    <w:multiLevelType w:val="multilevel"/>
    <w:tmpl w:val="5A4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0C2F"/>
    <w:multiLevelType w:val="hybridMultilevel"/>
    <w:tmpl w:val="0D76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277C7"/>
    <w:multiLevelType w:val="multilevel"/>
    <w:tmpl w:val="CF7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F09CF"/>
    <w:multiLevelType w:val="multilevel"/>
    <w:tmpl w:val="120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75C"/>
    <w:multiLevelType w:val="multilevel"/>
    <w:tmpl w:val="4AD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E6BDF"/>
    <w:multiLevelType w:val="multilevel"/>
    <w:tmpl w:val="0F5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E2F"/>
    <w:multiLevelType w:val="multilevel"/>
    <w:tmpl w:val="EB2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3F09"/>
    <w:multiLevelType w:val="hybridMultilevel"/>
    <w:tmpl w:val="E89E7974"/>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57AC0"/>
    <w:multiLevelType w:val="multilevel"/>
    <w:tmpl w:val="D71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96B8D"/>
    <w:multiLevelType w:val="multilevel"/>
    <w:tmpl w:val="BB16BDCA"/>
    <w:lvl w:ilvl="0">
      <w:start w:val="1"/>
      <w:numFmt w:val="bullet"/>
      <w:lvlText w:val=""/>
      <w:lvlJc w:val="left"/>
      <w:pPr>
        <w:tabs>
          <w:tab w:val="num" w:pos="905"/>
        </w:tabs>
        <w:ind w:left="905" w:hanging="360"/>
      </w:pPr>
      <w:rPr>
        <w:rFonts w:ascii="Symbol" w:hAnsi="Symbol" w:hint="default"/>
        <w:sz w:val="20"/>
      </w:rPr>
    </w:lvl>
    <w:lvl w:ilvl="1" w:tentative="1">
      <w:start w:val="1"/>
      <w:numFmt w:val="bullet"/>
      <w:lvlText w:val="o"/>
      <w:lvlJc w:val="left"/>
      <w:pPr>
        <w:tabs>
          <w:tab w:val="num" w:pos="1625"/>
        </w:tabs>
        <w:ind w:left="1625" w:hanging="360"/>
      </w:pPr>
      <w:rPr>
        <w:rFonts w:ascii="Courier New" w:hAnsi="Courier New" w:hint="default"/>
        <w:sz w:val="20"/>
      </w:rPr>
    </w:lvl>
    <w:lvl w:ilvl="2" w:tentative="1">
      <w:start w:val="1"/>
      <w:numFmt w:val="bullet"/>
      <w:lvlText w:val=""/>
      <w:lvlJc w:val="left"/>
      <w:pPr>
        <w:tabs>
          <w:tab w:val="num" w:pos="2345"/>
        </w:tabs>
        <w:ind w:left="2345" w:hanging="360"/>
      </w:pPr>
      <w:rPr>
        <w:rFonts w:ascii="Wingdings" w:hAnsi="Wingdings" w:hint="default"/>
        <w:sz w:val="20"/>
      </w:rPr>
    </w:lvl>
    <w:lvl w:ilvl="3" w:tentative="1">
      <w:start w:val="1"/>
      <w:numFmt w:val="bullet"/>
      <w:lvlText w:val=""/>
      <w:lvlJc w:val="left"/>
      <w:pPr>
        <w:tabs>
          <w:tab w:val="num" w:pos="3065"/>
        </w:tabs>
        <w:ind w:left="3065" w:hanging="360"/>
      </w:pPr>
      <w:rPr>
        <w:rFonts w:ascii="Wingdings" w:hAnsi="Wingdings" w:hint="default"/>
        <w:sz w:val="20"/>
      </w:rPr>
    </w:lvl>
    <w:lvl w:ilvl="4" w:tentative="1">
      <w:start w:val="1"/>
      <w:numFmt w:val="bullet"/>
      <w:lvlText w:val=""/>
      <w:lvlJc w:val="left"/>
      <w:pPr>
        <w:tabs>
          <w:tab w:val="num" w:pos="3785"/>
        </w:tabs>
        <w:ind w:left="3785" w:hanging="360"/>
      </w:pPr>
      <w:rPr>
        <w:rFonts w:ascii="Wingdings" w:hAnsi="Wingdings" w:hint="default"/>
        <w:sz w:val="20"/>
      </w:rPr>
    </w:lvl>
    <w:lvl w:ilvl="5" w:tentative="1">
      <w:start w:val="1"/>
      <w:numFmt w:val="bullet"/>
      <w:lvlText w:val=""/>
      <w:lvlJc w:val="left"/>
      <w:pPr>
        <w:tabs>
          <w:tab w:val="num" w:pos="4505"/>
        </w:tabs>
        <w:ind w:left="4505" w:hanging="360"/>
      </w:pPr>
      <w:rPr>
        <w:rFonts w:ascii="Wingdings" w:hAnsi="Wingdings" w:hint="default"/>
        <w:sz w:val="20"/>
      </w:rPr>
    </w:lvl>
    <w:lvl w:ilvl="6" w:tentative="1">
      <w:start w:val="1"/>
      <w:numFmt w:val="bullet"/>
      <w:lvlText w:val=""/>
      <w:lvlJc w:val="left"/>
      <w:pPr>
        <w:tabs>
          <w:tab w:val="num" w:pos="5225"/>
        </w:tabs>
        <w:ind w:left="5225" w:hanging="360"/>
      </w:pPr>
      <w:rPr>
        <w:rFonts w:ascii="Wingdings" w:hAnsi="Wingdings" w:hint="default"/>
        <w:sz w:val="20"/>
      </w:rPr>
    </w:lvl>
    <w:lvl w:ilvl="7" w:tentative="1">
      <w:start w:val="1"/>
      <w:numFmt w:val="bullet"/>
      <w:lvlText w:val=""/>
      <w:lvlJc w:val="left"/>
      <w:pPr>
        <w:tabs>
          <w:tab w:val="num" w:pos="5945"/>
        </w:tabs>
        <w:ind w:left="5945" w:hanging="360"/>
      </w:pPr>
      <w:rPr>
        <w:rFonts w:ascii="Wingdings" w:hAnsi="Wingdings" w:hint="default"/>
        <w:sz w:val="20"/>
      </w:rPr>
    </w:lvl>
    <w:lvl w:ilvl="8" w:tentative="1">
      <w:start w:val="1"/>
      <w:numFmt w:val="bullet"/>
      <w:lvlText w:val=""/>
      <w:lvlJc w:val="left"/>
      <w:pPr>
        <w:tabs>
          <w:tab w:val="num" w:pos="6665"/>
        </w:tabs>
        <w:ind w:left="6665" w:hanging="360"/>
      </w:pPr>
      <w:rPr>
        <w:rFonts w:ascii="Wingdings" w:hAnsi="Wingdings" w:hint="default"/>
        <w:sz w:val="20"/>
      </w:rPr>
    </w:lvl>
  </w:abstractNum>
  <w:abstractNum w:abstractNumId="12" w15:restartNumberingAfterBreak="0">
    <w:nsid w:val="27285E98"/>
    <w:multiLevelType w:val="multilevel"/>
    <w:tmpl w:val="723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523B"/>
    <w:multiLevelType w:val="multilevel"/>
    <w:tmpl w:val="DBBE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63F3"/>
    <w:multiLevelType w:val="multilevel"/>
    <w:tmpl w:val="7DBE5E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2E3EFA"/>
    <w:multiLevelType w:val="multilevel"/>
    <w:tmpl w:val="9F5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6255E"/>
    <w:multiLevelType w:val="multilevel"/>
    <w:tmpl w:val="9A9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5298F"/>
    <w:multiLevelType w:val="hybridMultilevel"/>
    <w:tmpl w:val="31F26FA4"/>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2318F"/>
    <w:multiLevelType w:val="multilevel"/>
    <w:tmpl w:val="E18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34FD1"/>
    <w:multiLevelType w:val="multilevel"/>
    <w:tmpl w:val="9076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055E2"/>
    <w:multiLevelType w:val="hybridMultilevel"/>
    <w:tmpl w:val="FBCE9C48"/>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2268D"/>
    <w:multiLevelType w:val="multilevel"/>
    <w:tmpl w:val="5A74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834BB"/>
    <w:multiLevelType w:val="multilevel"/>
    <w:tmpl w:val="61A43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DA4614"/>
    <w:multiLevelType w:val="multilevel"/>
    <w:tmpl w:val="559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200C6"/>
    <w:multiLevelType w:val="multilevel"/>
    <w:tmpl w:val="B4BE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C60F4"/>
    <w:multiLevelType w:val="multilevel"/>
    <w:tmpl w:val="8E9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76555"/>
    <w:multiLevelType w:val="multilevel"/>
    <w:tmpl w:val="852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208D0"/>
    <w:multiLevelType w:val="hybridMultilevel"/>
    <w:tmpl w:val="3BE2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1"/>
  </w:num>
  <w:num w:numId="4">
    <w:abstractNumId w:val="26"/>
  </w:num>
  <w:num w:numId="5">
    <w:abstractNumId w:val="7"/>
  </w:num>
  <w:num w:numId="6">
    <w:abstractNumId w:val="18"/>
  </w:num>
  <w:num w:numId="7">
    <w:abstractNumId w:val="11"/>
  </w:num>
  <w:num w:numId="8">
    <w:abstractNumId w:val="27"/>
  </w:num>
  <w:num w:numId="9">
    <w:abstractNumId w:val="4"/>
  </w:num>
  <w:num w:numId="10">
    <w:abstractNumId w:val="2"/>
  </w:num>
  <w:num w:numId="11">
    <w:abstractNumId w:val="16"/>
  </w:num>
  <w:num w:numId="12">
    <w:abstractNumId w:val="22"/>
  </w:num>
  <w:num w:numId="13">
    <w:abstractNumId w:val="14"/>
  </w:num>
  <w:num w:numId="14">
    <w:abstractNumId w:val="3"/>
  </w:num>
  <w:num w:numId="15">
    <w:abstractNumId w:val="9"/>
  </w:num>
  <w:num w:numId="16">
    <w:abstractNumId w:val="20"/>
  </w:num>
  <w:num w:numId="17">
    <w:abstractNumId w:val="17"/>
  </w:num>
  <w:num w:numId="18">
    <w:abstractNumId w:val="12"/>
  </w:num>
  <w:num w:numId="19">
    <w:abstractNumId w:val="13"/>
  </w:num>
  <w:num w:numId="20">
    <w:abstractNumId w:val="8"/>
  </w:num>
  <w:num w:numId="21">
    <w:abstractNumId w:val="1"/>
  </w:num>
  <w:num w:numId="22">
    <w:abstractNumId w:val="19"/>
  </w:num>
  <w:num w:numId="23">
    <w:abstractNumId w:val="23"/>
  </w:num>
  <w:num w:numId="24">
    <w:abstractNumId w:val="15"/>
  </w:num>
  <w:num w:numId="25">
    <w:abstractNumId w:val="0"/>
  </w:num>
  <w:num w:numId="26">
    <w:abstractNumId w:val="5"/>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41"/>
    <w:rsid w:val="000250DD"/>
    <w:rsid w:val="00043025"/>
    <w:rsid w:val="000D1B58"/>
    <w:rsid w:val="000E63DD"/>
    <w:rsid w:val="00126B41"/>
    <w:rsid w:val="001A670E"/>
    <w:rsid w:val="001C1E5F"/>
    <w:rsid w:val="00252A1D"/>
    <w:rsid w:val="00264B46"/>
    <w:rsid w:val="00272CAE"/>
    <w:rsid w:val="00281478"/>
    <w:rsid w:val="002824DF"/>
    <w:rsid w:val="002D66A8"/>
    <w:rsid w:val="002E5D62"/>
    <w:rsid w:val="00335C23"/>
    <w:rsid w:val="00361DD7"/>
    <w:rsid w:val="00366B95"/>
    <w:rsid w:val="00377AD9"/>
    <w:rsid w:val="00392510"/>
    <w:rsid w:val="003A2F88"/>
    <w:rsid w:val="0049105E"/>
    <w:rsid w:val="00491978"/>
    <w:rsid w:val="004B4D43"/>
    <w:rsid w:val="005315AC"/>
    <w:rsid w:val="00543FCB"/>
    <w:rsid w:val="005B18CD"/>
    <w:rsid w:val="00642514"/>
    <w:rsid w:val="006D1D1E"/>
    <w:rsid w:val="00725541"/>
    <w:rsid w:val="00776F5A"/>
    <w:rsid w:val="00781863"/>
    <w:rsid w:val="007E197B"/>
    <w:rsid w:val="007F2CD1"/>
    <w:rsid w:val="007F5ADE"/>
    <w:rsid w:val="00844A13"/>
    <w:rsid w:val="008601B3"/>
    <w:rsid w:val="00892C24"/>
    <w:rsid w:val="008A5466"/>
    <w:rsid w:val="00987AC9"/>
    <w:rsid w:val="00A57697"/>
    <w:rsid w:val="00AD1828"/>
    <w:rsid w:val="00B400F7"/>
    <w:rsid w:val="00B66A1E"/>
    <w:rsid w:val="00BA2346"/>
    <w:rsid w:val="00BA2DF7"/>
    <w:rsid w:val="00BB33E8"/>
    <w:rsid w:val="00BD763B"/>
    <w:rsid w:val="00C37397"/>
    <w:rsid w:val="00C52787"/>
    <w:rsid w:val="00C849C7"/>
    <w:rsid w:val="00CC7B23"/>
    <w:rsid w:val="00CD073F"/>
    <w:rsid w:val="00D04BA2"/>
    <w:rsid w:val="00D57130"/>
    <w:rsid w:val="00DE20D0"/>
    <w:rsid w:val="00DE6137"/>
    <w:rsid w:val="00EA20F4"/>
    <w:rsid w:val="00ED2CBB"/>
    <w:rsid w:val="2AE5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FAE23EA"/>
  <w15:docId w15:val="{BEF3AF6A-CF96-4998-9AAC-373A3EE6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0E"/>
  </w:style>
  <w:style w:type="paragraph" w:styleId="Heading1">
    <w:name w:val="heading 1"/>
    <w:basedOn w:val="Normal"/>
    <w:next w:val="Normal"/>
    <w:link w:val="Heading1Char"/>
    <w:uiPriority w:val="9"/>
    <w:qFormat/>
    <w:rsid w:val="0064251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19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D62"/>
    <w:pPr>
      <w:ind w:left="720"/>
      <w:contextualSpacing/>
    </w:pPr>
  </w:style>
  <w:style w:type="paragraph" w:styleId="NormalWeb">
    <w:name w:val="Normal (Web)"/>
    <w:basedOn w:val="Normal"/>
    <w:uiPriority w:val="99"/>
    <w:semiHidden/>
    <w:unhideWhenUsed/>
    <w:rsid w:val="002E5D6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1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DD7"/>
    <w:rPr>
      <w:rFonts w:ascii="Segoe UI" w:hAnsi="Segoe UI" w:cs="Segoe UI"/>
      <w:sz w:val="18"/>
      <w:szCs w:val="18"/>
    </w:rPr>
  </w:style>
  <w:style w:type="paragraph" w:styleId="Header">
    <w:name w:val="header"/>
    <w:basedOn w:val="Normal"/>
    <w:link w:val="HeaderChar"/>
    <w:uiPriority w:val="99"/>
    <w:unhideWhenUsed/>
    <w:rsid w:val="00272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CAE"/>
  </w:style>
  <w:style w:type="paragraph" w:styleId="Footer">
    <w:name w:val="footer"/>
    <w:basedOn w:val="Normal"/>
    <w:link w:val="FooterChar"/>
    <w:uiPriority w:val="99"/>
    <w:unhideWhenUsed/>
    <w:rsid w:val="00272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CAE"/>
  </w:style>
  <w:style w:type="character" w:customStyle="1" w:styleId="Heading1Char">
    <w:name w:val="Heading 1 Char"/>
    <w:basedOn w:val="DefaultParagraphFont"/>
    <w:link w:val="Heading1"/>
    <w:uiPriority w:val="9"/>
    <w:rsid w:val="0064251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64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9197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37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9895">
      <w:bodyDiv w:val="1"/>
      <w:marLeft w:val="0"/>
      <w:marRight w:val="0"/>
      <w:marTop w:val="0"/>
      <w:marBottom w:val="0"/>
      <w:divBdr>
        <w:top w:val="none" w:sz="0" w:space="0" w:color="auto"/>
        <w:left w:val="none" w:sz="0" w:space="0" w:color="auto"/>
        <w:bottom w:val="none" w:sz="0" w:space="0" w:color="auto"/>
        <w:right w:val="none" w:sz="0" w:space="0" w:color="auto"/>
      </w:divBdr>
    </w:div>
    <w:div w:id="204026346">
      <w:bodyDiv w:val="1"/>
      <w:marLeft w:val="0"/>
      <w:marRight w:val="0"/>
      <w:marTop w:val="0"/>
      <w:marBottom w:val="0"/>
      <w:divBdr>
        <w:top w:val="none" w:sz="0" w:space="0" w:color="auto"/>
        <w:left w:val="none" w:sz="0" w:space="0" w:color="auto"/>
        <w:bottom w:val="none" w:sz="0" w:space="0" w:color="auto"/>
        <w:right w:val="none" w:sz="0" w:space="0" w:color="auto"/>
      </w:divBdr>
    </w:div>
    <w:div w:id="550268029">
      <w:bodyDiv w:val="1"/>
      <w:marLeft w:val="0"/>
      <w:marRight w:val="0"/>
      <w:marTop w:val="0"/>
      <w:marBottom w:val="0"/>
      <w:divBdr>
        <w:top w:val="none" w:sz="0" w:space="0" w:color="auto"/>
        <w:left w:val="none" w:sz="0" w:space="0" w:color="auto"/>
        <w:bottom w:val="none" w:sz="0" w:space="0" w:color="auto"/>
        <w:right w:val="none" w:sz="0" w:space="0" w:color="auto"/>
      </w:divBdr>
    </w:div>
    <w:div w:id="994989348">
      <w:bodyDiv w:val="1"/>
      <w:marLeft w:val="0"/>
      <w:marRight w:val="0"/>
      <w:marTop w:val="0"/>
      <w:marBottom w:val="0"/>
      <w:divBdr>
        <w:top w:val="none" w:sz="0" w:space="0" w:color="auto"/>
        <w:left w:val="none" w:sz="0" w:space="0" w:color="auto"/>
        <w:bottom w:val="none" w:sz="0" w:space="0" w:color="auto"/>
        <w:right w:val="none" w:sz="0" w:space="0" w:color="auto"/>
      </w:divBdr>
    </w:div>
    <w:div w:id="1206140749">
      <w:bodyDiv w:val="1"/>
      <w:marLeft w:val="0"/>
      <w:marRight w:val="0"/>
      <w:marTop w:val="0"/>
      <w:marBottom w:val="0"/>
      <w:divBdr>
        <w:top w:val="none" w:sz="0" w:space="0" w:color="auto"/>
        <w:left w:val="none" w:sz="0" w:space="0" w:color="auto"/>
        <w:bottom w:val="none" w:sz="0" w:space="0" w:color="auto"/>
        <w:right w:val="none" w:sz="0" w:space="0" w:color="auto"/>
      </w:divBdr>
    </w:div>
    <w:div w:id="1488672602">
      <w:bodyDiv w:val="1"/>
      <w:marLeft w:val="0"/>
      <w:marRight w:val="0"/>
      <w:marTop w:val="0"/>
      <w:marBottom w:val="0"/>
      <w:divBdr>
        <w:top w:val="none" w:sz="0" w:space="0" w:color="auto"/>
        <w:left w:val="none" w:sz="0" w:space="0" w:color="auto"/>
        <w:bottom w:val="none" w:sz="0" w:space="0" w:color="auto"/>
        <w:right w:val="none" w:sz="0" w:space="0" w:color="auto"/>
      </w:divBdr>
    </w:div>
    <w:div w:id="1528711652">
      <w:bodyDiv w:val="1"/>
      <w:marLeft w:val="0"/>
      <w:marRight w:val="0"/>
      <w:marTop w:val="0"/>
      <w:marBottom w:val="0"/>
      <w:divBdr>
        <w:top w:val="none" w:sz="0" w:space="0" w:color="auto"/>
        <w:left w:val="none" w:sz="0" w:space="0" w:color="auto"/>
        <w:bottom w:val="none" w:sz="0" w:space="0" w:color="auto"/>
        <w:right w:val="none" w:sz="0" w:space="0" w:color="auto"/>
      </w:divBdr>
      <w:divsChild>
        <w:div w:id="504783768">
          <w:marLeft w:val="6780"/>
          <w:marRight w:val="6780"/>
          <w:marTop w:val="0"/>
          <w:marBottom w:val="0"/>
          <w:divBdr>
            <w:top w:val="none" w:sz="0" w:space="0" w:color="auto"/>
            <w:left w:val="none" w:sz="0" w:space="0" w:color="auto"/>
            <w:bottom w:val="none" w:sz="0" w:space="0" w:color="auto"/>
            <w:right w:val="none" w:sz="0" w:space="0" w:color="auto"/>
          </w:divBdr>
          <w:divsChild>
            <w:div w:id="226772444">
              <w:marLeft w:val="0"/>
              <w:marRight w:val="0"/>
              <w:marTop w:val="0"/>
              <w:marBottom w:val="0"/>
              <w:divBdr>
                <w:top w:val="none" w:sz="0" w:space="0" w:color="auto"/>
                <w:left w:val="none" w:sz="0" w:space="0" w:color="auto"/>
                <w:bottom w:val="none" w:sz="0" w:space="0" w:color="auto"/>
                <w:right w:val="none" w:sz="0" w:space="0" w:color="auto"/>
              </w:divBdr>
              <w:divsChild>
                <w:div w:id="3850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747">
          <w:marLeft w:val="6803"/>
          <w:marRight w:val="6803"/>
          <w:marTop w:val="0"/>
          <w:marBottom w:val="0"/>
          <w:divBdr>
            <w:top w:val="none" w:sz="0" w:space="0" w:color="auto"/>
            <w:left w:val="none" w:sz="0" w:space="0" w:color="auto"/>
            <w:bottom w:val="none" w:sz="0" w:space="0" w:color="auto"/>
            <w:right w:val="none" w:sz="0" w:space="0" w:color="auto"/>
          </w:divBdr>
          <w:divsChild>
            <w:div w:id="308100537">
              <w:marLeft w:val="0"/>
              <w:marRight w:val="0"/>
              <w:marTop w:val="0"/>
              <w:marBottom w:val="0"/>
              <w:divBdr>
                <w:top w:val="none" w:sz="0" w:space="0" w:color="auto"/>
                <w:left w:val="none" w:sz="0" w:space="0" w:color="auto"/>
                <w:bottom w:val="none" w:sz="0" w:space="0" w:color="auto"/>
                <w:right w:val="none" w:sz="0" w:space="0" w:color="auto"/>
              </w:divBdr>
            </w:div>
            <w:div w:id="847989984">
              <w:marLeft w:val="0"/>
              <w:marRight w:val="0"/>
              <w:marTop w:val="0"/>
              <w:marBottom w:val="0"/>
              <w:divBdr>
                <w:top w:val="none" w:sz="0" w:space="0" w:color="auto"/>
                <w:left w:val="none" w:sz="0" w:space="0" w:color="auto"/>
                <w:bottom w:val="none" w:sz="0" w:space="0" w:color="auto"/>
                <w:right w:val="none" w:sz="0" w:space="0" w:color="auto"/>
              </w:divBdr>
            </w:div>
            <w:div w:id="998073809">
              <w:marLeft w:val="0"/>
              <w:marRight w:val="0"/>
              <w:marTop w:val="360"/>
              <w:marBottom w:val="0"/>
              <w:divBdr>
                <w:top w:val="none" w:sz="0" w:space="0" w:color="auto"/>
                <w:left w:val="none" w:sz="0" w:space="0" w:color="auto"/>
                <w:bottom w:val="none" w:sz="0" w:space="0" w:color="auto"/>
                <w:right w:val="none" w:sz="0" w:space="0" w:color="auto"/>
              </w:divBdr>
              <w:divsChild>
                <w:div w:id="1025063014">
                  <w:marLeft w:val="0"/>
                  <w:marRight w:val="0"/>
                  <w:marTop w:val="0"/>
                  <w:marBottom w:val="0"/>
                  <w:divBdr>
                    <w:top w:val="none" w:sz="0" w:space="0" w:color="auto"/>
                    <w:left w:val="none" w:sz="0" w:space="0" w:color="auto"/>
                    <w:bottom w:val="none" w:sz="0" w:space="0" w:color="auto"/>
                    <w:right w:val="none" w:sz="0" w:space="0" w:color="auto"/>
                  </w:divBdr>
                </w:div>
              </w:divsChild>
            </w:div>
            <w:div w:id="1353191434">
              <w:marLeft w:val="0"/>
              <w:marRight w:val="0"/>
              <w:marTop w:val="150"/>
              <w:marBottom w:val="0"/>
              <w:divBdr>
                <w:top w:val="none" w:sz="0" w:space="0" w:color="auto"/>
                <w:left w:val="none" w:sz="0" w:space="0" w:color="auto"/>
                <w:bottom w:val="none" w:sz="0" w:space="0" w:color="auto"/>
                <w:right w:val="none" w:sz="0" w:space="0" w:color="auto"/>
              </w:divBdr>
            </w:div>
            <w:div w:id="1711105669">
              <w:marLeft w:val="0"/>
              <w:marRight w:val="0"/>
              <w:marTop w:val="150"/>
              <w:marBottom w:val="0"/>
              <w:divBdr>
                <w:top w:val="none" w:sz="0" w:space="0" w:color="auto"/>
                <w:left w:val="none" w:sz="0" w:space="0" w:color="auto"/>
                <w:bottom w:val="none" w:sz="0" w:space="0" w:color="auto"/>
                <w:right w:val="none" w:sz="0" w:space="0" w:color="auto"/>
              </w:divBdr>
            </w:div>
            <w:div w:id="2124886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1206709">
      <w:bodyDiv w:val="1"/>
      <w:marLeft w:val="0"/>
      <w:marRight w:val="0"/>
      <w:marTop w:val="0"/>
      <w:marBottom w:val="0"/>
      <w:divBdr>
        <w:top w:val="none" w:sz="0" w:space="0" w:color="auto"/>
        <w:left w:val="none" w:sz="0" w:space="0" w:color="auto"/>
        <w:bottom w:val="none" w:sz="0" w:space="0" w:color="auto"/>
        <w:right w:val="none" w:sz="0" w:space="0" w:color="auto"/>
      </w:divBdr>
    </w:div>
    <w:div w:id="1698851284">
      <w:bodyDiv w:val="1"/>
      <w:marLeft w:val="0"/>
      <w:marRight w:val="0"/>
      <w:marTop w:val="0"/>
      <w:marBottom w:val="0"/>
      <w:divBdr>
        <w:top w:val="none" w:sz="0" w:space="0" w:color="auto"/>
        <w:left w:val="none" w:sz="0" w:space="0" w:color="auto"/>
        <w:bottom w:val="none" w:sz="0" w:space="0" w:color="auto"/>
        <w:right w:val="none" w:sz="0" w:space="0" w:color="auto"/>
      </w:divBdr>
    </w:div>
    <w:div w:id="1724675632">
      <w:bodyDiv w:val="1"/>
      <w:marLeft w:val="0"/>
      <w:marRight w:val="0"/>
      <w:marTop w:val="0"/>
      <w:marBottom w:val="0"/>
      <w:divBdr>
        <w:top w:val="none" w:sz="0" w:space="0" w:color="auto"/>
        <w:left w:val="none" w:sz="0" w:space="0" w:color="auto"/>
        <w:bottom w:val="none" w:sz="0" w:space="0" w:color="auto"/>
        <w:right w:val="none" w:sz="0" w:space="0" w:color="auto"/>
      </w:divBdr>
      <w:divsChild>
        <w:div w:id="1463886226">
          <w:marLeft w:val="0"/>
          <w:marRight w:val="0"/>
          <w:marTop w:val="0"/>
          <w:marBottom w:val="0"/>
          <w:divBdr>
            <w:top w:val="none" w:sz="0" w:space="0" w:color="auto"/>
            <w:left w:val="none" w:sz="0" w:space="0" w:color="auto"/>
            <w:bottom w:val="none" w:sz="0" w:space="0" w:color="auto"/>
            <w:right w:val="none" w:sz="0" w:space="0" w:color="auto"/>
          </w:divBdr>
          <w:divsChild>
            <w:div w:id="362943899">
              <w:marLeft w:val="0"/>
              <w:marRight w:val="0"/>
              <w:marTop w:val="0"/>
              <w:marBottom w:val="0"/>
              <w:divBdr>
                <w:top w:val="none" w:sz="0" w:space="0" w:color="auto"/>
                <w:left w:val="none" w:sz="0" w:space="0" w:color="auto"/>
                <w:bottom w:val="none" w:sz="0" w:space="0" w:color="auto"/>
                <w:right w:val="none" w:sz="0" w:space="0" w:color="auto"/>
              </w:divBdr>
              <w:divsChild>
                <w:div w:id="885331400">
                  <w:marLeft w:val="0"/>
                  <w:marRight w:val="0"/>
                  <w:marTop w:val="0"/>
                  <w:marBottom w:val="0"/>
                  <w:divBdr>
                    <w:top w:val="none" w:sz="0" w:space="0" w:color="auto"/>
                    <w:left w:val="none" w:sz="0" w:space="0" w:color="auto"/>
                    <w:bottom w:val="none" w:sz="0" w:space="0" w:color="auto"/>
                    <w:right w:val="none" w:sz="0" w:space="0" w:color="auto"/>
                  </w:divBdr>
                  <w:divsChild>
                    <w:div w:id="1708215803">
                      <w:marLeft w:val="0"/>
                      <w:marRight w:val="0"/>
                      <w:marTop w:val="0"/>
                      <w:marBottom w:val="150"/>
                      <w:divBdr>
                        <w:top w:val="none" w:sz="0" w:space="0" w:color="auto"/>
                        <w:left w:val="none" w:sz="0" w:space="0" w:color="auto"/>
                        <w:bottom w:val="none" w:sz="0" w:space="0" w:color="auto"/>
                        <w:right w:val="none" w:sz="0" w:space="0" w:color="auto"/>
                      </w:divBdr>
                      <w:divsChild>
                        <w:div w:id="1648776160">
                          <w:marLeft w:val="0"/>
                          <w:marRight w:val="0"/>
                          <w:marTop w:val="0"/>
                          <w:marBottom w:val="0"/>
                          <w:divBdr>
                            <w:top w:val="none" w:sz="0" w:space="0" w:color="auto"/>
                            <w:left w:val="none" w:sz="0" w:space="0" w:color="auto"/>
                            <w:bottom w:val="none" w:sz="0" w:space="0" w:color="auto"/>
                            <w:right w:val="none" w:sz="0" w:space="0" w:color="auto"/>
                          </w:divBdr>
                          <w:divsChild>
                            <w:div w:id="1614903894">
                              <w:marLeft w:val="0"/>
                              <w:marRight w:val="0"/>
                              <w:marTop w:val="0"/>
                              <w:marBottom w:val="0"/>
                              <w:divBdr>
                                <w:top w:val="none" w:sz="0" w:space="0" w:color="auto"/>
                                <w:left w:val="none" w:sz="0" w:space="0" w:color="auto"/>
                                <w:bottom w:val="none" w:sz="0" w:space="0" w:color="auto"/>
                                <w:right w:val="none" w:sz="0" w:space="0" w:color="auto"/>
                              </w:divBdr>
                              <w:divsChild>
                                <w:div w:id="10143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3</cp:revision>
  <cp:lastPrinted>2021-05-24T15:07:00Z</cp:lastPrinted>
  <dcterms:created xsi:type="dcterms:W3CDTF">2021-05-24T15:08:00Z</dcterms:created>
  <dcterms:modified xsi:type="dcterms:W3CDTF">2022-05-16T15:43:00Z</dcterms:modified>
</cp:coreProperties>
</file>